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ScotRail holds the copyright in these files. Under their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publication scheme</w:t>
        </w:r>
      </w:hyperlink>
      <w:r w:rsidDel="00000000" w:rsidR="00000000" w:rsidRPr="00000000">
        <w:rPr>
          <w:rtl w:val="0"/>
        </w:rPr>
        <w:t xml:space="preserve">, the following terms apply: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Where ScotRail Trains Limited holds the copyright in its published information, the information may be copied or reproduced without formal permission, provided that: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it is copied or reproduced accurately.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is not used in a misleading context, and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source of the material is identified.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cotrail.co.uk/about-scotrail/information-requests/scotrail-trains-limited-publication-sch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